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1273" w14:textId="3DE1FE8B" w:rsidR="00D93172" w:rsidRPr="00D93172" w:rsidRDefault="00365198" w:rsidP="00D93172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 xml:space="preserve">2 </w:t>
      </w:r>
      <w:r>
        <w:rPr>
          <w:rFonts w:ascii="Arial" w:eastAsia="宋体" w:hAnsi="Arial" w:cs="Arial" w:hint="eastAsia"/>
          <w:color w:val="00587C"/>
          <w:kern w:val="0"/>
          <w:sz w:val="31"/>
          <w:szCs w:val="31"/>
          <w14:ligatures w14:val="none"/>
        </w:rPr>
        <w:t>D</w:t>
      </w:r>
      <w:r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 xml:space="preserve">ays Advanced B/L course </w:t>
      </w:r>
      <w:r w:rsidR="00D93172" w:rsidRPr="00D93172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price</w:t>
      </w:r>
    </w:p>
    <w:tbl>
      <w:tblPr>
        <w:tblW w:w="9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2"/>
        <w:gridCol w:w="2938"/>
      </w:tblGrid>
      <w:tr w:rsidR="00D93172" w:rsidRPr="00D93172" w14:paraId="2AFE27A4" w14:textId="77777777" w:rsidTr="00D93172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ABFAAC9" w14:textId="09809D16" w:rsidR="00D93172" w:rsidRPr="00D93172" w:rsidRDefault="00D93172" w:rsidP="00D93172">
            <w:pPr>
              <w:widowControl/>
              <w:spacing w:after="60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</w:pPr>
            <w:r w:rsidRPr="00D93172"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  <w:t>BIMCO</w:t>
            </w:r>
            <w:r w:rsidR="00365198"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  <w:t>/HKSOA</w:t>
            </w:r>
            <w:r w:rsidRPr="00D93172"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  <w:t xml:space="preserve"> member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6078ECD" w14:textId="77777777" w:rsidR="00D93172" w:rsidRPr="00D93172" w:rsidRDefault="00D93172" w:rsidP="00D93172">
            <w:pPr>
              <w:widowControl/>
              <w:spacing w:after="60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</w:pPr>
            <w:r w:rsidRPr="00D93172"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  <w:t>EUR 1250</w:t>
            </w:r>
          </w:p>
        </w:tc>
      </w:tr>
      <w:tr w:rsidR="00D93172" w:rsidRPr="00D93172" w14:paraId="18E3B357" w14:textId="77777777" w:rsidTr="00D93172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34377E5" w14:textId="77777777" w:rsidR="00D93172" w:rsidRPr="00D93172" w:rsidRDefault="00D93172" w:rsidP="00D93172">
            <w:pPr>
              <w:widowControl/>
              <w:spacing w:after="60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</w:pPr>
            <w:r w:rsidRPr="00D93172"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  <w:t>Non-member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E5B8AAB" w14:textId="77777777" w:rsidR="00D93172" w:rsidRPr="00D93172" w:rsidRDefault="00D93172" w:rsidP="00D93172">
            <w:pPr>
              <w:widowControl/>
              <w:spacing w:after="60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</w:pPr>
            <w:r w:rsidRPr="00D93172">
              <w:rPr>
                <w:rFonts w:ascii="Arial" w:eastAsia="宋体" w:hAnsi="Arial" w:cs="Arial"/>
                <w:color w:val="333333"/>
                <w:kern w:val="0"/>
                <w:szCs w:val="21"/>
                <w14:ligatures w14:val="none"/>
              </w:rPr>
              <w:t>EUR 1650</w:t>
            </w:r>
          </w:p>
        </w:tc>
      </w:tr>
    </w:tbl>
    <w:p w14:paraId="7263D5C3" w14:textId="77777777" w:rsidR="00D93172" w:rsidRPr="00D93172" w:rsidRDefault="00D93172" w:rsidP="00D93172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D93172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Discounts</w:t>
      </w:r>
    </w:p>
    <w:p w14:paraId="7B0C8CC7" w14:textId="77777777" w:rsidR="00D93172" w:rsidRPr="00D93172" w:rsidRDefault="00D93172" w:rsidP="00D93172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proofErr w:type="gramStart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10</w:t>
      </w:r>
      <w:proofErr w:type="gramEnd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% group discount is available for registering 3 or more participants from the same company. Cannot be combined with any other discount.</w:t>
      </w:r>
    </w:p>
    <w:p w14:paraId="2B81A0B6" w14:textId="77777777" w:rsidR="00D93172" w:rsidRPr="00D93172" w:rsidRDefault="00D93172" w:rsidP="00D93172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D93172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Overview</w:t>
      </w:r>
    </w:p>
    <w:p w14:paraId="26FF27AE" w14:textId="77777777" w:rsidR="00D93172" w:rsidRPr="00D93172" w:rsidRDefault="00D93172" w:rsidP="00D93172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 xml:space="preserve">In today's interconnected world of global trade, understanding the intricacies of </w:t>
      </w:r>
      <w:proofErr w:type="gramStart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Bills</w:t>
      </w:r>
      <w:proofErr w:type="gramEnd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 xml:space="preserve"> of Lading is paramount. The BIMCO Masterclass is designed to empower you with the knowledge and expertise needed to navigate the complex world of Bills of Lading.</w:t>
      </w:r>
    </w:p>
    <w:p w14:paraId="25A21594" w14:textId="77777777" w:rsidR="00D93172" w:rsidRPr="00D93172" w:rsidRDefault="00D93172" w:rsidP="00D93172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Bills of Lading serve as the cornerstone of international commerce, playing a pivotal role in facilitating the smooth movement of goods across borders. They are not just documents; they are essential instruments that dictate the terms, responsibilities, and legalities of global trade transactions.</w:t>
      </w:r>
    </w:p>
    <w:p w14:paraId="5622A0A9" w14:textId="77777777" w:rsidR="00D93172" w:rsidRPr="00D93172" w:rsidRDefault="00D93172" w:rsidP="00D93172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Our Masterclass on Bills of Lading is a deep dive into this crucial aspect of international trade. From the fundamental principles to the nuanced complexities, our program covers it all. Here's what you can expect:</w:t>
      </w:r>
    </w:p>
    <w:p w14:paraId="097A61B1" w14:textId="77777777" w:rsidR="00D93172" w:rsidRPr="00D93172" w:rsidRDefault="00D93172" w:rsidP="00D93172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D93172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What will you learn?</w:t>
      </w:r>
    </w:p>
    <w:p w14:paraId="3702852A" w14:textId="77777777" w:rsidR="00D93172" w:rsidRPr="00D93172" w:rsidRDefault="00D93172" w:rsidP="00D93172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b/>
          <w:bCs/>
          <w:color w:val="333333"/>
          <w:kern w:val="0"/>
          <w:szCs w:val="21"/>
          <w14:ligatures w14:val="none"/>
        </w:rPr>
        <w:t>Day 1: Mastering the Basics</w:t>
      </w:r>
    </w:p>
    <w:p w14:paraId="76BB6922" w14:textId="77777777" w:rsidR="00D93172" w:rsidRPr="00D93172" w:rsidRDefault="00D93172" w:rsidP="00D93172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Overview of Bills of Lading: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 Understand the fundamental relationships between contracts of sale, letters of credit, charter parties, and bills of lading.</w:t>
      </w:r>
    </w:p>
    <w:p w14:paraId="0EBD2521" w14:textId="77777777" w:rsidR="00D93172" w:rsidRPr="00D93172" w:rsidRDefault="00D93172" w:rsidP="00D93172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International Regulation: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 Explore the impact of international conventions like the Hague, Hague-Visby, and Hamburg Rules, along with carrier duties, package limitations, and Paramount Clauses.</w:t>
      </w:r>
    </w:p>
    <w:p w14:paraId="09462C7F" w14:textId="77777777" w:rsidR="00D93172" w:rsidRPr="00D93172" w:rsidRDefault="00D93172" w:rsidP="00D93172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lastRenderedPageBreak/>
        <w:t>The Functions of the Bill of Lading: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 Delve into the multifaceted roles of bills of lading as receipts, evidence of contracts, and documents of title.</w:t>
      </w:r>
    </w:p>
    <w:p w14:paraId="6425BEE1" w14:textId="77777777" w:rsidR="00D93172" w:rsidRPr="00D93172" w:rsidRDefault="00D93172" w:rsidP="00D93172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Combined and Through Transport: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 Navigate the complexities of multi-modal transportation, networking principles, and the role of freight forwarders and NVOCCs.</w:t>
      </w:r>
    </w:p>
    <w:p w14:paraId="1718A72A" w14:textId="77777777" w:rsidR="00D93172" w:rsidRPr="00D93172" w:rsidRDefault="00D93172" w:rsidP="00D93172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Negotiating Bills of Lading: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 Tackle the intricate issues surrounding the right to sue carriers, liabilities, types of bills, and the evolution of electronic bills of lading.</w:t>
      </w:r>
    </w:p>
    <w:p w14:paraId="27D1BF8A" w14:textId="77777777" w:rsidR="00D93172" w:rsidRPr="00D93172" w:rsidRDefault="00D93172" w:rsidP="00D93172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b/>
          <w:bCs/>
          <w:color w:val="333333"/>
          <w:kern w:val="0"/>
          <w:szCs w:val="21"/>
          <w14:ligatures w14:val="none"/>
        </w:rPr>
        <w:t>Day 2: Navigating Risks and Complexities</w:t>
      </w:r>
    </w:p>
    <w:p w14:paraId="34ADDD56" w14:textId="77777777" w:rsidR="00D93172" w:rsidRPr="00D93172" w:rsidRDefault="00D93172" w:rsidP="00D93172">
      <w:pPr>
        <w:widowControl/>
        <w:numPr>
          <w:ilvl w:val="0"/>
          <w:numId w:val="2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Bills of Lading and Related Risks: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 Understand the implications when bills do not align with letter of credit terms, go missing, or aren't available at the discharge port. Explore issues with ante-dated bills and fraudulent documents.</w:t>
      </w:r>
    </w:p>
    <w:p w14:paraId="0D10FBAB" w14:textId="77777777" w:rsidR="00D93172" w:rsidRPr="00D93172" w:rsidRDefault="00D93172" w:rsidP="00D93172">
      <w:pPr>
        <w:widowControl/>
        <w:numPr>
          <w:ilvl w:val="0"/>
          <w:numId w:val="2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Letters of Indemnity: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 xml:space="preserve"> Learn about obtaining cargo release without the original bill of lading, the </w:t>
      </w:r>
      <w:proofErr w:type="gramStart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benefits</w:t>
      </w:r>
      <w:proofErr w:type="gramEnd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 xml:space="preserve"> and limitations of letters of indemnity, and associated risks.</w:t>
      </w:r>
    </w:p>
    <w:p w14:paraId="5F939747" w14:textId="77777777" w:rsidR="00D93172" w:rsidRPr="00D93172" w:rsidRDefault="00D93172" w:rsidP="00D93172">
      <w:pPr>
        <w:widowControl/>
        <w:numPr>
          <w:ilvl w:val="0"/>
          <w:numId w:val="2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proofErr w:type="spellStart"/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Misdelivery</w:t>
      </w:r>
      <w:proofErr w:type="spellEnd"/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 xml:space="preserve"> Claims: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 xml:space="preserve"> Dive into </w:t>
      </w:r>
      <w:proofErr w:type="spellStart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misdelivery</w:t>
      </w:r>
      <w:proofErr w:type="spellEnd"/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 xml:space="preserve"> claims, their common causes, legal frameworks, and best practices for prevention and resolution.</w:t>
      </w:r>
    </w:p>
    <w:p w14:paraId="3C1F558F" w14:textId="77777777" w:rsidR="00D93172" w:rsidRPr="00D93172" w:rsidRDefault="00D93172" w:rsidP="00D93172">
      <w:pPr>
        <w:widowControl/>
        <w:numPr>
          <w:ilvl w:val="0"/>
          <w:numId w:val="2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D93172">
        <w:rPr>
          <w:rFonts w:ascii="Arial" w:eastAsia="宋体" w:hAnsi="Arial" w:cs="Arial"/>
          <w:i/>
          <w:iCs/>
          <w:color w:val="333333"/>
          <w:kern w:val="0"/>
          <w:szCs w:val="21"/>
          <w14:ligatures w14:val="none"/>
        </w:rPr>
        <w:t>Switch Bills of Lading:</w:t>
      </w:r>
      <w:r w:rsidRPr="00D93172">
        <w:rPr>
          <w:rFonts w:ascii="Arial" w:eastAsia="宋体" w:hAnsi="Arial" w:cs="Arial"/>
          <w:color w:val="333333"/>
          <w:kern w:val="0"/>
          <w:szCs w:val="21"/>
          <w14:ligatures w14:val="none"/>
        </w:rPr>
        <w:t> Examine reasons for switching bills, practical challenges, associated risks, and the role of Letters of Indemnity and Charter Clauses.</w:t>
      </w:r>
    </w:p>
    <w:p w14:paraId="48C5499E" w14:textId="77777777" w:rsidR="00A5243B" w:rsidRDefault="00A5243B"/>
    <w:p w14:paraId="244E1E78" w14:textId="2B5AE4B2" w:rsidR="008037E3" w:rsidRPr="008037E3" w:rsidRDefault="008037E3">
      <w:pPr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8037E3">
        <w:rPr>
          <w:rFonts w:ascii="Arial" w:eastAsia="宋体" w:hAnsi="Arial" w:cs="Arial" w:hint="eastAsia"/>
          <w:color w:val="00587C"/>
          <w:kern w:val="0"/>
          <w:sz w:val="31"/>
          <w:szCs w:val="31"/>
          <w14:ligatures w14:val="none"/>
        </w:rPr>
        <w:t>S</w:t>
      </w:r>
      <w:r w:rsidRPr="008037E3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ignup link</w:t>
      </w:r>
    </w:p>
    <w:p w14:paraId="170838ED" w14:textId="15EC7FFD" w:rsidR="008037E3" w:rsidRDefault="00FF6AD4">
      <w:pPr>
        <w:rPr>
          <w:rFonts w:hint="eastAsia"/>
        </w:rPr>
      </w:pPr>
      <w:hyperlink r:id="rId5" w:history="1">
        <w:r>
          <w:rPr>
            <w:rStyle w:val="Hyperlink"/>
          </w:rPr>
          <w:t>Bills of Lading Masterclass (bimco.org)</w:t>
        </w:r>
      </w:hyperlink>
    </w:p>
    <w:sectPr w:rsidR="0080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1315"/>
    <w:multiLevelType w:val="multilevel"/>
    <w:tmpl w:val="5FE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C40ED"/>
    <w:multiLevelType w:val="multilevel"/>
    <w:tmpl w:val="1FE2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284723">
    <w:abstractNumId w:val="1"/>
  </w:num>
  <w:num w:numId="2" w16cid:durableId="131475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B"/>
    <w:rsid w:val="00365198"/>
    <w:rsid w:val="008037E3"/>
    <w:rsid w:val="00A5243B"/>
    <w:rsid w:val="00D93172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34FA"/>
  <w15:chartTrackingRefBased/>
  <w15:docId w15:val="{737F7D6B-7472-4456-90DF-FA2E2F84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9317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172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3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93172"/>
    <w:rPr>
      <w:b/>
      <w:bCs/>
    </w:rPr>
  </w:style>
  <w:style w:type="character" w:styleId="Emphasis">
    <w:name w:val="Emphasis"/>
    <w:basedOn w:val="DefaultParagraphFont"/>
    <w:uiPriority w:val="20"/>
    <w:qFormat/>
    <w:rsid w:val="00D9317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F6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mco.org/training/courses/2023/1128_bl_hong-k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Zhuang</dc:creator>
  <cp:keywords/>
  <dc:description/>
  <cp:lastModifiedBy>Wei Zhuang</cp:lastModifiedBy>
  <cp:revision>5</cp:revision>
  <dcterms:created xsi:type="dcterms:W3CDTF">2023-10-10T05:29:00Z</dcterms:created>
  <dcterms:modified xsi:type="dcterms:W3CDTF">2023-10-10T05:36:00Z</dcterms:modified>
</cp:coreProperties>
</file>